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30" w:rsidRDefault="005B0430" w:rsidP="005B043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44922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72BB00E4" wp14:editId="0B1E124F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746885" cy="904875"/>
            <wp:effectExtent l="0" t="0" r="5715" b="0"/>
            <wp:wrapTight wrapText="bothSides">
              <wp:wrapPolygon edited="0">
                <wp:start x="1649" y="2274"/>
                <wp:lineTo x="0" y="6821"/>
                <wp:lineTo x="0" y="18644"/>
                <wp:lineTo x="14369" y="20008"/>
                <wp:lineTo x="16489" y="20008"/>
                <wp:lineTo x="21435" y="18644"/>
                <wp:lineTo x="21435" y="15461"/>
                <wp:lineTo x="19551" y="10459"/>
                <wp:lineTo x="20022" y="6821"/>
                <wp:lineTo x="13662" y="3183"/>
                <wp:lineTo x="6360" y="2274"/>
                <wp:lineTo x="1649" y="2274"/>
              </wp:wrapPolygon>
            </wp:wrapTight>
            <wp:docPr id="2" name="Kép 2" descr="C:\Users\Boncz D\Documents\MTA Alumni program\MTA_Alumni_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cz D\Documents\MTA Alumni program\MTA_Alumni_Pro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" r="6645"/>
                    <a:stretch/>
                  </pic:blipFill>
                  <pic:spPr bwMode="auto">
                    <a:xfrm>
                      <a:off x="0" y="0"/>
                      <a:ext cx="1746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  <w:szCs w:val="28"/>
        </w:rPr>
        <w:t>Beszámoló</w:t>
      </w:r>
    </w:p>
    <w:p w:rsidR="005B0430" w:rsidRDefault="005B0430" w:rsidP="005B043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5B0430">
        <w:rPr>
          <w:rFonts w:ascii="Cambria" w:hAnsi="Cambria"/>
          <w:b/>
          <w:sz w:val="28"/>
          <w:szCs w:val="28"/>
        </w:rPr>
        <w:t>Dr. Keszei Ernő</w:t>
      </w:r>
      <w:r>
        <w:rPr>
          <w:rFonts w:ascii="Cambria" w:hAnsi="Cambria"/>
          <w:b/>
          <w:sz w:val="28"/>
          <w:szCs w:val="28"/>
        </w:rPr>
        <w:t xml:space="preserve"> </w:t>
      </w:r>
      <w:r w:rsidRPr="005B0430">
        <w:rPr>
          <w:rFonts w:ascii="Cambria" w:hAnsi="Cambria"/>
          <w:b/>
          <w:sz w:val="28"/>
          <w:szCs w:val="28"/>
        </w:rPr>
        <w:t>emeritus professzor</w:t>
      </w:r>
      <w:r w:rsidRPr="00444922">
        <w:rPr>
          <w:rFonts w:ascii="Cambria" w:hAnsi="Cambria"/>
          <w:b/>
          <w:sz w:val="28"/>
          <w:szCs w:val="28"/>
        </w:rPr>
        <w:t xml:space="preserve"> </w:t>
      </w:r>
    </w:p>
    <w:p w:rsidR="005B0430" w:rsidRDefault="005B0430" w:rsidP="005B0430">
      <w:pPr>
        <w:spacing w:after="0"/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a</w:t>
      </w:r>
      <w:proofErr w:type="gramEnd"/>
      <w:r>
        <w:rPr>
          <w:rFonts w:ascii="Cambria" w:hAnsi="Cambria"/>
          <w:b/>
          <w:sz w:val="28"/>
          <w:szCs w:val="28"/>
        </w:rPr>
        <w:t xml:space="preserve"> középiskolai MTA ALUMNI program keretében</w:t>
      </w:r>
    </w:p>
    <w:p w:rsidR="005B0430" w:rsidRPr="00444922" w:rsidRDefault="005B0430" w:rsidP="005B043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a</w:t>
      </w:r>
      <w:proofErr w:type="gramEnd"/>
      <w:r>
        <w:rPr>
          <w:rFonts w:ascii="Cambria" w:hAnsi="Cambria"/>
          <w:b/>
          <w:sz w:val="28"/>
          <w:szCs w:val="28"/>
        </w:rPr>
        <w:t xml:space="preserve"> Zalaegerszegi Kölcsey Ferenc Gimnáziumban</w:t>
      </w:r>
    </w:p>
    <w:p w:rsidR="005B0430" w:rsidRPr="005B0430" w:rsidRDefault="005B0430" w:rsidP="00442E66">
      <w:pPr>
        <w:jc w:val="center"/>
        <w:rPr>
          <w:sz w:val="28"/>
          <w:szCs w:val="28"/>
        </w:rPr>
      </w:pPr>
    </w:p>
    <w:p w:rsidR="00926208" w:rsidRPr="005B0430" w:rsidRDefault="00442E66" w:rsidP="00926208">
      <w:pPr>
        <w:rPr>
          <w:sz w:val="24"/>
          <w:szCs w:val="24"/>
        </w:rPr>
      </w:pPr>
      <w:r w:rsidRPr="005B0430">
        <w:rPr>
          <w:rFonts w:ascii="Cambria" w:hAnsi="Cambria"/>
          <w:b/>
          <w:iCs/>
          <w:sz w:val="24"/>
          <w:szCs w:val="24"/>
        </w:rPr>
        <w:t>Előadás címe</w:t>
      </w:r>
      <w:r w:rsidR="00926208" w:rsidRPr="005B0430">
        <w:rPr>
          <w:rFonts w:ascii="Cambria" w:hAnsi="Cambria"/>
          <w:b/>
          <w:iCs/>
          <w:sz w:val="24"/>
          <w:szCs w:val="24"/>
        </w:rPr>
        <w:t>:</w:t>
      </w:r>
      <w:r w:rsidR="00926208" w:rsidRPr="005B0430">
        <w:rPr>
          <w:rFonts w:ascii="Cambria" w:hAnsi="Cambria"/>
          <w:iCs/>
          <w:sz w:val="24"/>
          <w:szCs w:val="24"/>
        </w:rPr>
        <w:t xml:space="preserve"> </w:t>
      </w:r>
      <w:r w:rsidRPr="005B0430">
        <w:rPr>
          <w:rFonts w:ascii="Cambria" w:hAnsi="Cambria"/>
          <w:sz w:val="24"/>
          <w:szCs w:val="24"/>
        </w:rPr>
        <w:t>Az ember által legrégebb óta é</w:t>
      </w:r>
      <w:r w:rsidR="005B0430" w:rsidRPr="005B0430">
        <w:rPr>
          <w:rFonts w:ascii="Cambria" w:hAnsi="Cambria"/>
          <w:sz w:val="24"/>
          <w:szCs w:val="24"/>
        </w:rPr>
        <w:t xml:space="preserve">s leggyakrabban végzett reakció: </w:t>
      </w:r>
      <w:proofErr w:type="spellStart"/>
      <w:r w:rsidR="005B0430"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Maillard</w:t>
      </w:r>
      <w:proofErr w:type="spellEnd"/>
      <w:r w:rsidR="005B0430"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-reakció</w:t>
      </w:r>
    </w:p>
    <w:p w:rsidR="00442E66" w:rsidRPr="005B0430" w:rsidRDefault="00442E66" w:rsidP="00442E66">
      <w:pPr>
        <w:jc w:val="both"/>
        <w:rPr>
          <w:rFonts w:ascii="Cambria" w:hAnsi="Cambria"/>
          <w:i/>
          <w:sz w:val="24"/>
          <w:szCs w:val="24"/>
        </w:rPr>
      </w:pPr>
      <w:r w:rsidRPr="005B0430">
        <w:rPr>
          <w:rFonts w:ascii="Cambria" w:hAnsi="Cambria"/>
          <w:b/>
          <w:sz w:val="24"/>
          <w:szCs w:val="24"/>
        </w:rPr>
        <w:t xml:space="preserve">Munkahely/kutatási intézmény és munkaköri beosztás: </w:t>
      </w:r>
      <w:r w:rsidRPr="005B0430">
        <w:rPr>
          <w:rFonts w:ascii="Cambria" w:hAnsi="Cambria"/>
          <w:i/>
          <w:sz w:val="24"/>
          <w:szCs w:val="24"/>
        </w:rPr>
        <w:t>Eötvös Loránd Tudományegyetem Természettudományi Kar, Kémiai Intézet</w:t>
      </w:r>
      <w:r w:rsidRPr="005B0430">
        <w:rPr>
          <w:rFonts w:ascii="Cambria" w:hAnsi="Cambria"/>
          <w:b/>
          <w:sz w:val="24"/>
          <w:szCs w:val="24"/>
        </w:rPr>
        <w:t xml:space="preserve">, </w:t>
      </w:r>
      <w:r w:rsidRPr="005B0430">
        <w:rPr>
          <w:rFonts w:ascii="Cambria" w:hAnsi="Cambria"/>
          <w:i/>
          <w:sz w:val="24"/>
          <w:szCs w:val="24"/>
        </w:rPr>
        <w:t>emeritus egyetemi tanár</w:t>
      </w:r>
    </w:p>
    <w:p w:rsidR="00F94768" w:rsidRPr="005B0430" w:rsidRDefault="00926208" w:rsidP="00442E66">
      <w:pPr>
        <w:jc w:val="both"/>
        <w:rPr>
          <w:sz w:val="24"/>
          <w:szCs w:val="24"/>
        </w:rPr>
      </w:pPr>
      <w:r w:rsidRPr="005B0430">
        <w:rPr>
          <w:rFonts w:ascii="Cambria" w:hAnsi="Cambria"/>
          <w:b/>
          <w:sz w:val="24"/>
          <w:szCs w:val="24"/>
        </w:rPr>
        <w:t>Jelenlegi kutatási</w:t>
      </w:r>
      <w:r w:rsidR="00442E66" w:rsidRPr="005B0430">
        <w:rPr>
          <w:rFonts w:ascii="Cambria" w:hAnsi="Cambria"/>
          <w:b/>
          <w:sz w:val="24"/>
          <w:szCs w:val="24"/>
        </w:rPr>
        <w:t>/oktatási</w:t>
      </w:r>
      <w:r w:rsidRPr="005B0430">
        <w:rPr>
          <w:rFonts w:ascii="Cambria" w:hAnsi="Cambria"/>
          <w:b/>
          <w:sz w:val="24"/>
          <w:szCs w:val="24"/>
        </w:rPr>
        <w:t xml:space="preserve"> tevékenysége:</w:t>
      </w:r>
      <w:r w:rsidRPr="005B0430">
        <w:rPr>
          <w:rFonts w:ascii="Cambria" w:hAnsi="Cambria"/>
          <w:sz w:val="24"/>
          <w:szCs w:val="24"/>
        </w:rPr>
        <w:t xml:space="preserve"> </w:t>
      </w:r>
      <w:r w:rsidR="00442E66" w:rsidRPr="005B0430">
        <w:rPr>
          <w:rFonts w:ascii="Cambria" w:hAnsi="Cambria"/>
          <w:i/>
          <w:sz w:val="24"/>
          <w:szCs w:val="24"/>
        </w:rPr>
        <w:t>előadások az ELTE Hevesi György Kémiai Doktori Iskolában, valamint doktori témavezetés a Pécsi Tudományegyetem Biológia Doktori Iskolájában, fehérjekinetikai reakciómechanizmusok vizsgálata NMR adatok alapján.</w:t>
      </w:r>
      <w:r w:rsidR="00442E66" w:rsidRPr="005B0430">
        <w:rPr>
          <w:sz w:val="24"/>
          <w:szCs w:val="24"/>
        </w:rPr>
        <w:t xml:space="preserve"> </w:t>
      </w:r>
    </w:p>
    <w:p w:rsidR="00926208" w:rsidRPr="005B0430" w:rsidRDefault="00442E66" w:rsidP="00442E66">
      <w:pPr>
        <w:jc w:val="both"/>
        <w:rPr>
          <w:rFonts w:ascii="Cambria" w:hAnsi="Cambria"/>
          <w:i/>
          <w:sz w:val="24"/>
          <w:szCs w:val="24"/>
        </w:rPr>
      </w:pPr>
      <w:r w:rsidRPr="005B0430">
        <w:rPr>
          <w:rFonts w:ascii="Cambria" w:hAnsi="Cambria"/>
          <w:i/>
          <w:sz w:val="24"/>
          <w:szCs w:val="24"/>
        </w:rPr>
        <w:t>14 évig az ELTE Fizikai Kémiai Tanszék vezetője volt, három évig pedig az ELTE tudományos</w:t>
      </w:r>
      <w:r w:rsidR="00F94768" w:rsidRPr="005B0430">
        <w:rPr>
          <w:rFonts w:ascii="Cambria" w:hAnsi="Cambria"/>
          <w:i/>
          <w:sz w:val="24"/>
          <w:szCs w:val="24"/>
        </w:rPr>
        <w:t xml:space="preserve"> </w:t>
      </w:r>
      <w:r w:rsidRPr="005B0430">
        <w:rPr>
          <w:rFonts w:ascii="Cambria" w:hAnsi="Cambria"/>
          <w:i/>
          <w:sz w:val="24"/>
          <w:szCs w:val="24"/>
        </w:rPr>
        <w:t>rektorhelyettese. Négy évet töltött Kanadában vendégkutatóként. Folyadékok szerkezetvizsgálatát követően elektronok és szilárd filmek kölcsönhatásával, majd elektronok folyadékokban történő oldódásával foglalkozott ultragyors lézer-fotokémiai módszerek alkalmazásával. Két angol nyelvű fizikai-kémiai témájú egyetemi tankönyve jelent meg a Springer kiadó gondozásában. Jelenleg fehérjekinetikai vizsgálatokkal és borok fotokémiai károsodásának tanulmányozásával foglalkozik.</w:t>
      </w:r>
    </w:p>
    <w:p w:rsidR="005B0430" w:rsidRDefault="005B0430" w:rsidP="009262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26208" w:rsidRDefault="00926208" w:rsidP="005B04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B0430">
        <w:rPr>
          <w:rFonts w:ascii="Cambria" w:hAnsi="Cambria"/>
          <w:b/>
          <w:sz w:val="24"/>
          <w:szCs w:val="24"/>
        </w:rPr>
        <w:t xml:space="preserve">Előadás </w:t>
      </w:r>
      <w:proofErr w:type="gramStart"/>
      <w:r w:rsidRPr="005B0430">
        <w:rPr>
          <w:rFonts w:ascii="Cambria" w:hAnsi="Cambria"/>
          <w:b/>
          <w:sz w:val="24"/>
          <w:szCs w:val="24"/>
        </w:rPr>
        <w:t>absztrakt</w:t>
      </w:r>
      <w:proofErr w:type="gramEnd"/>
    </w:p>
    <w:p w:rsidR="005B0430" w:rsidRPr="005B0430" w:rsidRDefault="005B0430" w:rsidP="005B04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442E66" w:rsidRPr="005B0430" w:rsidRDefault="00442E66" w:rsidP="00442E66">
      <w:pPr>
        <w:jc w:val="both"/>
        <w:rPr>
          <w:rFonts w:ascii="Cambria" w:hAnsi="Cambria"/>
          <w:sz w:val="24"/>
          <w:szCs w:val="24"/>
        </w:rPr>
      </w:pPr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Minden természetes élelmiszerben, illetve azok nyersanyagában található cukor, valamint aminosavak. </w:t>
      </w:r>
      <w:proofErr w:type="gramStart"/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 redukáló cukrok és aminosavak (akár fehérjében kötöttek, akár szabad állapotúak) között olyan reakció játszódik le, amelynek köszönhetjük elkészített ételeink (és italaink egy részének) íz- és zamatanyagát, valamint színes anyagainak jó részét. Bár az élelmiszerek hosszabb tárolása közben kellemetlen melléktermékek képződhetnek (és ezért a </w:t>
      </w:r>
      <w:proofErr w:type="spellStart"/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Maillard</w:t>
      </w:r>
      <w:proofErr w:type="spellEnd"/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-reakció ismerete egészségmegőrzési szempontból is fontos), hőkezelés hatására nő az ételek gasztronómiai élvezhetősége, ízletesebb lesz a tea, a kávé, a kakaó, a sör mellett a húsétel, a sült zöldség és a péksütemény is. A reakció az élő szervezetekben</w:t>
      </w:r>
      <w:proofErr w:type="gramEnd"/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is</w:t>
      </w:r>
      <w:proofErr w:type="gramEnd"/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lejátszódik, eredményeként különböző (például a szem színét meghatározó) pigmentek keletkeznek. Az előadás a </w:t>
      </w:r>
      <w:proofErr w:type="spellStart"/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Maillard</w:t>
      </w:r>
      <w:proofErr w:type="spellEnd"/>
      <w:r w:rsidRPr="005B043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-reakció jellegzetességeiről, valamint széleskörű alkalmazásáról szól, és hasznos főzési tanácsokat is tartalmaz.</w:t>
      </w:r>
    </w:p>
    <w:p w:rsidR="00926208" w:rsidRDefault="00926208" w:rsidP="00926208"/>
    <w:p w:rsidR="00926208" w:rsidRDefault="00926208"/>
    <w:sectPr w:rsidR="00926208" w:rsidSect="00594EE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60E"/>
    <w:multiLevelType w:val="hybridMultilevel"/>
    <w:tmpl w:val="E4EA619A"/>
    <w:lvl w:ilvl="0" w:tplc="FAE836FC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08"/>
    <w:rsid w:val="000119E3"/>
    <w:rsid w:val="00345AD2"/>
    <w:rsid w:val="003A3F22"/>
    <w:rsid w:val="00442E66"/>
    <w:rsid w:val="00594EED"/>
    <w:rsid w:val="005A22BA"/>
    <w:rsid w:val="005B0430"/>
    <w:rsid w:val="0061684A"/>
    <w:rsid w:val="006B1388"/>
    <w:rsid w:val="00703812"/>
    <w:rsid w:val="00926208"/>
    <w:rsid w:val="00C17847"/>
    <w:rsid w:val="00ED063A"/>
    <w:rsid w:val="00F74A40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4F83"/>
  <w15:chartTrackingRefBased/>
  <w15:docId w15:val="{1FCD08A0-BAD5-40A3-AA5C-0DCBDAC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F22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1891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 D</dc:creator>
  <cp:keywords/>
  <dc:description/>
  <cp:lastModifiedBy>Boncz D</cp:lastModifiedBy>
  <cp:revision>3</cp:revision>
  <dcterms:created xsi:type="dcterms:W3CDTF">2023-06-04T16:09:00Z</dcterms:created>
  <dcterms:modified xsi:type="dcterms:W3CDTF">2023-06-04T16:11:00Z</dcterms:modified>
</cp:coreProperties>
</file>